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41B2D2" w14:textId="77777777" w:rsidR="00464DB5" w:rsidRPr="00464DB5" w:rsidRDefault="00464DB5" w:rsidP="00464DB5">
      <w:pPr>
        <w:spacing w:after="120"/>
        <w:outlineLvl w:val="1"/>
        <w:rPr>
          <w:rFonts w:ascii="Century Schoolbook" w:eastAsia="Times New Roman" w:hAnsi="Century Schoolbook" w:cs="Times New Roman"/>
          <w:b/>
          <w:bCs/>
          <w:kern w:val="0"/>
          <w:sz w:val="32"/>
          <w:szCs w:val="32"/>
          <w:lang w:eastAsia="en-GB"/>
          <w14:ligatures w14:val="none"/>
        </w:rPr>
      </w:pPr>
      <w:r w:rsidRPr="00464DB5">
        <w:rPr>
          <w:rFonts w:ascii="Century Schoolbook" w:eastAsia="Times New Roman" w:hAnsi="Century Schoolbook" w:cs="Times New Roman"/>
          <w:b/>
          <w:bCs/>
          <w:kern w:val="0"/>
          <w:sz w:val="32"/>
          <w:szCs w:val="32"/>
          <w:lang w:eastAsia="en-GB"/>
          <w14:ligatures w14:val="none"/>
        </w:rPr>
        <w:t>Undergraduate Academic Regulations</w:t>
      </w:r>
    </w:p>
    <w:p w14:paraId="0975ECFF" w14:textId="3785E51D"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Assam Agricultural University follows a semester-based academic system for its undergraduate programmes under the </w:t>
      </w:r>
      <w:r w:rsidRPr="00464DB5">
        <w:rPr>
          <w:rFonts w:ascii="Century Schoolbook" w:eastAsia="Times New Roman" w:hAnsi="Century Schoolbook" w:cs="Times New Roman"/>
          <w:b/>
          <w:bCs/>
          <w:kern w:val="0"/>
          <w:sz w:val="22"/>
          <w:szCs w:val="22"/>
          <w:lang w:eastAsia="en-GB"/>
          <w14:ligatures w14:val="none"/>
        </w:rPr>
        <w:t>Regulations on Academic Matters (Amended), 2025</w:t>
      </w:r>
      <w:r w:rsidRPr="00464DB5">
        <w:rPr>
          <w:rFonts w:ascii="Century Schoolbook" w:eastAsia="Times New Roman" w:hAnsi="Century Schoolbook" w:cs="Times New Roman"/>
          <w:kern w:val="0"/>
          <w:sz w:val="22"/>
          <w:szCs w:val="22"/>
          <w:lang w:eastAsia="en-GB"/>
          <w14:ligatures w14:val="none"/>
        </w:rPr>
        <w:t xml:space="preserve">. The Regulations govern admission, enrolment, course registration, attendance, examination, evaluation, academic progression, student discipline, scholarships and award of degrees. They apply to students seeking admission to and admitted in the University. The academic year ordinarily extends from August to July and consists of two semesters. </w:t>
      </w:r>
    </w:p>
    <w:p w14:paraId="0C11A9CA"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Undergraduate Programmes</w:t>
      </w:r>
    </w:p>
    <w:p w14:paraId="1CAB51DF" w14:textId="2D873841"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The University offers undergraduate programmes in Agriculture, Horticulture, Sericulture, Fisheries Science, Community Science, Food Nutrition and Dietetics, and Veterinary Science. The B.Sc. (Hons.) and </w:t>
      </w:r>
      <w:proofErr w:type="spellStart"/>
      <w:r w:rsidRPr="00464DB5">
        <w:rPr>
          <w:rFonts w:ascii="Century Schoolbook" w:eastAsia="Times New Roman" w:hAnsi="Century Schoolbook" w:cs="Times New Roman"/>
          <w:kern w:val="0"/>
          <w:sz w:val="22"/>
          <w:szCs w:val="22"/>
          <w:lang w:eastAsia="en-GB"/>
          <w14:ligatures w14:val="none"/>
        </w:rPr>
        <w:t>B.F.Sc</w:t>
      </w:r>
      <w:proofErr w:type="spellEnd"/>
      <w:r w:rsidRPr="00464DB5">
        <w:rPr>
          <w:rFonts w:ascii="Century Schoolbook" w:eastAsia="Times New Roman" w:hAnsi="Century Schoolbook" w:cs="Times New Roman"/>
          <w:kern w:val="0"/>
          <w:sz w:val="22"/>
          <w:szCs w:val="22"/>
          <w:lang w:eastAsia="en-GB"/>
          <w14:ligatures w14:val="none"/>
        </w:rPr>
        <w:t xml:space="preserve">. programmes are normally completed in </w:t>
      </w:r>
      <w:r w:rsidRPr="00464DB5">
        <w:rPr>
          <w:rFonts w:ascii="Century Schoolbook" w:eastAsia="Times New Roman" w:hAnsi="Century Schoolbook" w:cs="Times New Roman"/>
          <w:b/>
          <w:bCs/>
          <w:kern w:val="0"/>
          <w:sz w:val="22"/>
          <w:szCs w:val="22"/>
          <w:lang w:eastAsia="en-GB"/>
          <w14:ligatures w14:val="none"/>
        </w:rPr>
        <w:t>eight semesters</w:t>
      </w:r>
      <w:r w:rsidRPr="00464DB5">
        <w:rPr>
          <w:rFonts w:ascii="Century Schoolbook" w:eastAsia="Times New Roman" w:hAnsi="Century Schoolbook" w:cs="Times New Roman"/>
          <w:kern w:val="0"/>
          <w:sz w:val="22"/>
          <w:szCs w:val="22"/>
          <w:lang w:eastAsia="en-GB"/>
          <w14:ligatures w14:val="none"/>
        </w:rPr>
        <w:t xml:space="preserve">, with a maximum permissible period of </w:t>
      </w:r>
      <w:r w:rsidRPr="00464DB5">
        <w:rPr>
          <w:rFonts w:ascii="Century Schoolbook" w:eastAsia="Times New Roman" w:hAnsi="Century Schoolbook" w:cs="Times New Roman"/>
          <w:b/>
          <w:bCs/>
          <w:kern w:val="0"/>
          <w:sz w:val="22"/>
          <w:szCs w:val="22"/>
          <w:lang w:eastAsia="en-GB"/>
          <w14:ligatures w14:val="none"/>
        </w:rPr>
        <w:t>fourteen semesters</w:t>
      </w:r>
      <w:r w:rsidRPr="00464DB5">
        <w:rPr>
          <w:rFonts w:ascii="Century Schoolbook" w:eastAsia="Times New Roman" w:hAnsi="Century Schoolbook" w:cs="Times New Roman"/>
          <w:kern w:val="0"/>
          <w:sz w:val="22"/>
          <w:szCs w:val="22"/>
          <w:lang w:eastAsia="en-GB"/>
          <w14:ligatures w14:val="none"/>
        </w:rPr>
        <w:t xml:space="preserve">. The </w:t>
      </w:r>
      <w:proofErr w:type="spellStart"/>
      <w:r w:rsidRPr="00464DB5">
        <w:rPr>
          <w:rFonts w:ascii="Century Schoolbook" w:eastAsia="Times New Roman" w:hAnsi="Century Schoolbook" w:cs="Times New Roman"/>
          <w:kern w:val="0"/>
          <w:sz w:val="22"/>
          <w:szCs w:val="22"/>
          <w:lang w:eastAsia="en-GB"/>
          <w14:ligatures w14:val="none"/>
        </w:rPr>
        <w:t>B.V.Sc</w:t>
      </w:r>
      <w:proofErr w:type="spellEnd"/>
      <w:r w:rsidRPr="00464DB5">
        <w:rPr>
          <w:rFonts w:ascii="Century Schoolbook" w:eastAsia="Times New Roman" w:hAnsi="Century Schoolbook" w:cs="Times New Roman"/>
          <w:kern w:val="0"/>
          <w:sz w:val="22"/>
          <w:szCs w:val="22"/>
          <w:lang w:eastAsia="en-GB"/>
          <w14:ligatures w14:val="none"/>
        </w:rPr>
        <w:t xml:space="preserve">. &amp; A.H. programme is governed substantially by the applicable Veterinary Council of India regulations. </w:t>
      </w:r>
    </w:p>
    <w:p w14:paraId="7370A748" w14:textId="30079260"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The academic curriculum incorporates core courses, elective courses, Skill Enhancement Courses, online courses, practical and experiential learning, internship and Student READY activities. Students of the relevant four-year programmes are also required to complete at least </w:t>
      </w:r>
      <w:r w:rsidRPr="00464DB5">
        <w:rPr>
          <w:rFonts w:ascii="Century Schoolbook" w:eastAsia="Times New Roman" w:hAnsi="Century Schoolbook" w:cs="Times New Roman"/>
          <w:b/>
          <w:bCs/>
          <w:kern w:val="0"/>
          <w:sz w:val="22"/>
          <w:szCs w:val="22"/>
          <w:lang w:eastAsia="en-GB"/>
          <w14:ligatures w14:val="none"/>
        </w:rPr>
        <w:t>10 credits through approved online courses</w:t>
      </w:r>
      <w:r w:rsidRPr="00464DB5">
        <w:rPr>
          <w:rFonts w:ascii="Century Schoolbook" w:eastAsia="Times New Roman" w:hAnsi="Century Schoolbook" w:cs="Times New Roman"/>
          <w:kern w:val="0"/>
          <w:sz w:val="22"/>
          <w:szCs w:val="22"/>
          <w:lang w:eastAsia="en-GB"/>
          <w14:ligatures w14:val="none"/>
        </w:rPr>
        <w:t xml:space="preserve">. </w:t>
      </w:r>
    </w:p>
    <w:p w14:paraId="43CE7C1A"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Admission</w:t>
      </w:r>
    </w:p>
    <w:p w14:paraId="637BD087" w14:textId="26B358A9"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Admission to undergraduate programmes is made in accordance with the eligibility requirements prescribed by the University and notified through the annual Information Bulletin. Applications are submitted online through the University website</w:t>
      </w:r>
      <w:r w:rsidR="00AE48D7">
        <w:rPr>
          <w:rFonts w:ascii="Century Schoolbook" w:eastAsia="Times New Roman" w:hAnsi="Century Schoolbook" w:cs="Times New Roman"/>
          <w:kern w:val="0"/>
          <w:sz w:val="22"/>
          <w:szCs w:val="22"/>
          <w:lang w:eastAsia="en-GB"/>
          <w14:ligatures w14:val="none"/>
        </w:rPr>
        <w:t>,</w:t>
      </w:r>
      <w:r w:rsidRPr="00464DB5">
        <w:rPr>
          <w:rFonts w:ascii="Century Schoolbook" w:eastAsia="Times New Roman" w:hAnsi="Century Schoolbook" w:cs="Times New Roman"/>
          <w:kern w:val="0"/>
          <w:sz w:val="22"/>
          <w:szCs w:val="22"/>
          <w:lang w:eastAsia="en-GB"/>
          <w14:ligatures w14:val="none"/>
        </w:rPr>
        <w:t xml:space="preserve"> and selection is made on merit according to the regulations in force. </w:t>
      </w:r>
    </w:p>
    <w:p w14:paraId="1FFBB824" w14:textId="783EA903"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For B.Sc. (Hons.) Agriculture, Horticulture and Sericulture, candidates should ordinarily have passed Higher Secondary/10+2 or equivalent examination with the prescribed science/agriculture subject combination and fulfil the minimum marks and age requirements. Similar programme-specific eligibility provisions apply to Fisheries Science, Community Science, Food Nutrition and Dietetics and Veterinary Science. </w:t>
      </w:r>
    </w:p>
    <w:p w14:paraId="16D4028A" w14:textId="7A2F00CD"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Admission is also subject to medical fitness, submission of prescribed certificates and payment of applicable University fees. </w:t>
      </w:r>
    </w:p>
    <w:p w14:paraId="5E722A38"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Academic Structure and Credit System</w:t>
      </w:r>
    </w:p>
    <w:p w14:paraId="5CCA8820" w14:textId="1F07680A"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A semester normally comprises a minimum of </w:t>
      </w:r>
      <w:r w:rsidRPr="00464DB5">
        <w:rPr>
          <w:rFonts w:ascii="Century Schoolbook" w:eastAsia="Times New Roman" w:hAnsi="Century Schoolbook" w:cs="Times New Roman"/>
          <w:b/>
          <w:bCs/>
          <w:kern w:val="0"/>
          <w:sz w:val="22"/>
          <w:szCs w:val="22"/>
          <w:lang w:eastAsia="en-GB"/>
          <w14:ligatures w14:val="none"/>
        </w:rPr>
        <w:t>110 working days</w:t>
      </w:r>
      <w:r w:rsidRPr="00464DB5">
        <w:rPr>
          <w:rFonts w:ascii="Century Schoolbook" w:eastAsia="Times New Roman" w:hAnsi="Century Schoolbook" w:cs="Times New Roman"/>
          <w:kern w:val="0"/>
          <w:sz w:val="22"/>
          <w:szCs w:val="22"/>
          <w:lang w:eastAsia="en-GB"/>
          <w14:ligatures w14:val="none"/>
        </w:rPr>
        <w:t xml:space="preserve">, including 95 instructional days and 15 examination days. One credit represents a minimum of 50 minutes of theory instruction or two hours of laboratory/field practical work per week during a semester. </w:t>
      </w:r>
    </w:p>
    <w:p w14:paraId="60D50F09" w14:textId="34CC5C8D"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The maximum credit load for an undergraduate student is normally </w:t>
      </w:r>
      <w:r w:rsidRPr="00464DB5">
        <w:rPr>
          <w:rFonts w:ascii="Century Schoolbook" w:eastAsia="Times New Roman" w:hAnsi="Century Schoolbook" w:cs="Times New Roman"/>
          <w:b/>
          <w:bCs/>
          <w:kern w:val="0"/>
          <w:sz w:val="22"/>
          <w:szCs w:val="22"/>
          <w:lang w:eastAsia="en-GB"/>
          <w14:ligatures w14:val="none"/>
        </w:rPr>
        <w:t>25 credits per semester</w:t>
      </w:r>
      <w:r w:rsidRPr="00464DB5">
        <w:rPr>
          <w:rFonts w:ascii="Century Schoolbook" w:eastAsia="Times New Roman" w:hAnsi="Century Schoolbook" w:cs="Times New Roman"/>
          <w:kern w:val="0"/>
          <w:sz w:val="22"/>
          <w:szCs w:val="22"/>
          <w:lang w:eastAsia="en-GB"/>
          <w14:ligatures w14:val="none"/>
        </w:rPr>
        <w:t xml:space="preserve">. Course curricula and syllabi are approved by the Academic Council on the recommendation of the respective Board of Studies. </w:t>
      </w:r>
    </w:p>
    <w:p w14:paraId="68AEBD2F"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Multiple Entry and Exit</w:t>
      </w:r>
    </w:p>
    <w:p w14:paraId="129CAA04" w14:textId="77777777"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In accordance with the academic provisions incorporated in the Regulations, eligible students may opt for multiple entry and exit from the undergraduate programme:</w:t>
      </w:r>
    </w:p>
    <w:p w14:paraId="1F330B2F" w14:textId="77777777" w:rsidR="00464DB5" w:rsidRPr="00464DB5" w:rsidRDefault="00464DB5" w:rsidP="00AE48D7">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b/>
          <w:bCs/>
          <w:kern w:val="0"/>
          <w:sz w:val="22"/>
          <w:szCs w:val="22"/>
          <w:lang w:eastAsia="en-GB"/>
          <w14:ligatures w14:val="none"/>
        </w:rPr>
        <w:t>Exit after the first year:</w:t>
      </w:r>
      <w:r w:rsidRPr="00464DB5">
        <w:rPr>
          <w:rFonts w:ascii="Century Schoolbook" w:eastAsia="Times New Roman" w:hAnsi="Century Schoolbook" w:cs="Times New Roman"/>
          <w:kern w:val="0"/>
          <w:sz w:val="22"/>
          <w:szCs w:val="22"/>
          <w:lang w:eastAsia="en-GB"/>
          <w14:ligatures w14:val="none"/>
        </w:rPr>
        <w:t xml:space="preserve"> UG Certificate, subject to completion of a 10-week internship carrying 10 credits.</w:t>
      </w:r>
    </w:p>
    <w:p w14:paraId="0440D89A" w14:textId="77777777" w:rsidR="00464DB5" w:rsidRPr="00464DB5" w:rsidRDefault="00464DB5" w:rsidP="00AE48D7">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b/>
          <w:bCs/>
          <w:kern w:val="0"/>
          <w:sz w:val="22"/>
          <w:szCs w:val="22"/>
          <w:lang w:eastAsia="en-GB"/>
          <w14:ligatures w14:val="none"/>
        </w:rPr>
        <w:t>Exit after the second year:</w:t>
      </w:r>
      <w:r w:rsidRPr="00464DB5">
        <w:rPr>
          <w:rFonts w:ascii="Century Schoolbook" w:eastAsia="Times New Roman" w:hAnsi="Century Schoolbook" w:cs="Times New Roman"/>
          <w:kern w:val="0"/>
          <w:sz w:val="22"/>
          <w:szCs w:val="22"/>
          <w:lang w:eastAsia="en-GB"/>
          <w14:ligatures w14:val="none"/>
        </w:rPr>
        <w:t xml:space="preserve"> UG Diploma, subject to completion of a 10-week internship carrying 10 credits.</w:t>
      </w:r>
    </w:p>
    <w:p w14:paraId="46C24D35" w14:textId="77777777" w:rsidR="00464DB5" w:rsidRPr="00464DB5" w:rsidRDefault="00464DB5" w:rsidP="00AE48D7">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No exit qualification is recommended after the third year because of the professional nature of the programmes.</w:t>
      </w:r>
    </w:p>
    <w:p w14:paraId="2718CC1D" w14:textId="77777777" w:rsidR="00464DB5" w:rsidRPr="00464DB5" w:rsidRDefault="00464DB5" w:rsidP="00AE48D7">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lastRenderedPageBreak/>
        <w:t>Completion of four years leads to the concerned undergraduate degree.</w:t>
      </w:r>
    </w:p>
    <w:p w14:paraId="7D5B308D" w14:textId="77777777" w:rsidR="00464DB5" w:rsidRPr="00464DB5" w:rsidRDefault="00464DB5" w:rsidP="00AE48D7">
      <w:pPr>
        <w:numPr>
          <w:ilvl w:val="0"/>
          <w:numId w:val="1"/>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Lateral entry into the third semester is permitted for eligible UG Certificate holders and into the fifth semester for UG Diploma holders, subject to University rules.</w:t>
      </w:r>
    </w:p>
    <w:p w14:paraId="2E627E05" w14:textId="1E120812" w:rsidR="00464DB5" w:rsidRPr="00464DB5" w:rsidRDefault="00464DB5" w:rsidP="00464DB5">
      <w:pPr>
        <w:numPr>
          <w:ilvl w:val="0"/>
          <w:numId w:val="1"/>
        </w:num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The entire programme, including permitted exits and re-entry, must be completed within the prescribed maximum period of seven years or fourteen semesters. </w:t>
      </w:r>
    </w:p>
    <w:p w14:paraId="138955C5"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Attendance</w:t>
      </w:r>
    </w:p>
    <w:p w14:paraId="16AC12C7" w14:textId="2C52405A"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Students are required to maintain at least </w:t>
      </w:r>
      <w:r w:rsidRPr="00464DB5">
        <w:rPr>
          <w:rFonts w:ascii="Century Schoolbook" w:eastAsia="Times New Roman" w:hAnsi="Century Schoolbook" w:cs="Times New Roman"/>
          <w:b/>
          <w:bCs/>
          <w:kern w:val="0"/>
          <w:sz w:val="22"/>
          <w:szCs w:val="22"/>
          <w:lang w:eastAsia="en-GB"/>
          <w14:ligatures w14:val="none"/>
        </w:rPr>
        <w:t>75% attendance separately in theory and practical components of each course</w:t>
      </w:r>
      <w:r w:rsidRPr="00464DB5">
        <w:rPr>
          <w:rFonts w:ascii="Century Schoolbook" w:eastAsia="Times New Roman" w:hAnsi="Century Schoolbook" w:cs="Times New Roman"/>
          <w:kern w:val="0"/>
          <w:sz w:val="22"/>
          <w:szCs w:val="22"/>
          <w:lang w:eastAsia="en-GB"/>
          <w14:ligatures w14:val="none"/>
        </w:rPr>
        <w:t xml:space="preserve">. A student failing to meet the prescribed attendance requirement is ordinarily not permitted to appear in the End-term examination and is required to repeat the course when offered. </w:t>
      </w:r>
    </w:p>
    <w:p w14:paraId="62591636" w14:textId="6A7B7A5C"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In exceptional circumstances, shortage of attendance may be condoned by the Dean/Associate Dean up to 15 percentage points, provided the student's attendance is not below </w:t>
      </w:r>
      <w:r w:rsidRPr="00464DB5">
        <w:rPr>
          <w:rFonts w:ascii="Century Schoolbook" w:eastAsia="Times New Roman" w:hAnsi="Century Schoolbook" w:cs="Times New Roman"/>
          <w:b/>
          <w:bCs/>
          <w:kern w:val="0"/>
          <w:sz w:val="22"/>
          <w:szCs w:val="22"/>
          <w:lang w:eastAsia="en-GB"/>
          <w14:ligatures w14:val="none"/>
        </w:rPr>
        <w:t>60%</w:t>
      </w:r>
      <w:r w:rsidRPr="00464DB5">
        <w:rPr>
          <w:rFonts w:ascii="Century Schoolbook" w:eastAsia="Times New Roman" w:hAnsi="Century Schoolbook" w:cs="Times New Roman"/>
          <w:kern w:val="0"/>
          <w:sz w:val="22"/>
          <w:szCs w:val="22"/>
          <w:lang w:eastAsia="en-GB"/>
          <w14:ligatures w14:val="none"/>
        </w:rPr>
        <w:t xml:space="preserve">. Such consideration is restricted to specified circumstances such as authorized University representation, serious illness requiring hospitalization or specified medical conditions, and bereavement in the immediate family. </w:t>
      </w:r>
    </w:p>
    <w:p w14:paraId="0EB5FF1F"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Examination and Evaluation</w:t>
      </w:r>
    </w:p>
    <w:p w14:paraId="7708F225" w14:textId="77777777"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Student performance is assessed continuously through quizzes, progressive assessment, Mid-term examination, practical examination and End-term examination as prescribed for individual courses. Mid-term and End-term examinations are conducted according to the Academic Calendar, while practical examinations are ordinarily held before the End-term theory examination.</w:t>
      </w:r>
    </w:p>
    <w:p w14:paraId="2D3E63E3" w14:textId="45512D98"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Normally, two quizzes are conducted in a semester. Provision exists for an additional quiz for eligible students to improve performance or to compensate for authorized absence. The assessment system emphasizes critical thinking, creativity and problem-solving rather than rote learning. </w:t>
      </w:r>
    </w:p>
    <w:p w14:paraId="4D8ACB6A" w14:textId="564EE91F"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Academic performance is expressed through grades on a </w:t>
      </w:r>
      <w:r w:rsidRPr="00464DB5">
        <w:rPr>
          <w:rFonts w:ascii="Century Schoolbook" w:eastAsia="Times New Roman" w:hAnsi="Century Schoolbook" w:cs="Times New Roman"/>
          <w:b/>
          <w:bCs/>
          <w:kern w:val="0"/>
          <w:sz w:val="22"/>
          <w:szCs w:val="22"/>
          <w:lang w:eastAsia="en-GB"/>
          <w14:ligatures w14:val="none"/>
        </w:rPr>
        <w:t>10-point scale</w:t>
      </w:r>
      <w:r w:rsidRPr="00464DB5">
        <w:rPr>
          <w:rFonts w:ascii="Century Schoolbook" w:eastAsia="Times New Roman" w:hAnsi="Century Schoolbook" w:cs="Times New Roman"/>
          <w:kern w:val="0"/>
          <w:sz w:val="22"/>
          <w:szCs w:val="22"/>
          <w:lang w:eastAsia="en-GB"/>
          <w14:ligatures w14:val="none"/>
        </w:rPr>
        <w:t xml:space="preserve">. Semester performance is represented by the Grade Point Average (GPA), while overall performance across the programme is represented by the Cumulative Grade Point Average (CGPA). </w:t>
      </w:r>
    </w:p>
    <w:p w14:paraId="60AA7414" w14:textId="77777777"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A minimum </w:t>
      </w:r>
      <w:r w:rsidRPr="00464DB5">
        <w:rPr>
          <w:rFonts w:ascii="Century Schoolbook" w:eastAsia="Times New Roman" w:hAnsi="Century Schoolbook" w:cs="Times New Roman"/>
          <w:b/>
          <w:bCs/>
          <w:kern w:val="0"/>
          <w:sz w:val="22"/>
          <w:szCs w:val="22"/>
          <w:lang w:eastAsia="en-GB"/>
          <w14:ligatures w14:val="none"/>
        </w:rPr>
        <w:t>CGPA of 5.50 out of 10.00</w:t>
      </w:r>
      <w:r w:rsidRPr="00464DB5">
        <w:rPr>
          <w:rFonts w:ascii="Century Schoolbook" w:eastAsia="Times New Roman" w:hAnsi="Century Schoolbook" w:cs="Times New Roman"/>
          <w:kern w:val="0"/>
          <w:sz w:val="22"/>
          <w:szCs w:val="22"/>
          <w:lang w:eastAsia="en-GB"/>
          <w14:ligatures w14:val="none"/>
        </w:rPr>
        <w:t>, along with successful completion of all required courses and removal of any ‘F’ grades, is necessary for award of the undergraduate degree.</w:t>
      </w:r>
    </w:p>
    <w:p w14:paraId="0634038D"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Academic Probation and Improvement</w:t>
      </w:r>
    </w:p>
    <w:p w14:paraId="1478FB5D" w14:textId="77777777"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Students failing to maintain the prescribed academic standard may be placed on Academic Probation. Opportunities are provided for Grade Improvement and Repeat Examinations in accordance with the Regulations. A student must ultimately obtain the prescribed minimum CGPA and clear all failed courses before becoming eligible for award of the degree.</w:t>
      </w:r>
    </w:p>
    <w:p w14:paraId="004FC8AD" w14:textId="77777777"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Students securing a </w:t>
      </w:r>
      <w:r w:rsidRPr="00464DB5">
        <w:rPr>
          <w:rFonts w:ascii="Century Schoolbook" w:eastAsia="Times New Roman" w:hAnsi="Century Schoolbook" w:cs="Times New Roman"/>
          <w:b/>
          <w:bCs/>
          <w:kern w:val="0"/>
          <w:sz w:val="22"/>
          <w:szCs w:val="22"/>
          <w:lang w:eastAsia="en-GB"/>
          <w14:ligatures w14:val="none"/>
        </w:rPr>
        <w:t>CGPA of 8.00 or above</w:t>
      </w:r>
      <w:r w:rsidRPr="00464DB5">
        <w:rPr>
          <w:rFonts w:ascii="Century Schoolbook" w:eastAsia="Times New Roman" w:hAnsi="Century Schoolbook" w:cs="Times New Roman"/>
          <w:kern w:val="0"/>
          <w:sz w:val="22"/>
          <w:szCs w:val="22"/>
          <w:lang w:eastAsia="en-GB"/>
          <w14:ligatures w14:val="none"/>
        </w:rPr>
        <w:t xml:space="preserve"> may qualify for the award of </w:t>
      </w:r>
      <w:r w:rsidRPr="00464DB5">
        <w:rPr>
          <w:rFonts w:ascii="Century Schoolbook" w:eastAsia="Times New Roman" w:hAnsi="Century Schoolbook" w:cs="Times New Roman"/>
          <w:b/>
          <w:bCs/>
          <w:kern w:val="0"/>
          <w:sz w:val="22"/>
          <w:szCs w:val="22"/>
          <w:lang w:eastAsia="en-GB"/>
          <w14:ligatures w14:val="none"/>
        </w:rPr>
        <w:t>Distinction</w:t>
      </w:r>
      <w:r w:rsidRPr="00464DB5">
        <w:rPr>
          <w:rFonts w:ascii="Century Schoolbook" w:eastAsia="Times New Roman" w:hAnsi="Century Schoolbook" w:cs="Times New Roman"/>
          <w:kern w:val="0"/>
          <w:sz w:val="22"/>
          <w:szCs w:val="22"/>
          <w:lang w:eastAsia="en-GB"/>
          <w14:ligatures w14:val="none"/>
        </w:rPr>
        <w:t>, subject to prescribed conditions, including completion within the minimum duration and absence of failed courses or academic/conduct probation during the programme.</w:t>
      </w:r>
    </w:p>
    <w:p w14:paraId="0FD23692"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Student READY and Experiential Learning</w:t>
      </w:r>
    </w:p>
    <w:p w14:paraId="0E84287B" w14:textId="74BCE865"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The </w:t>
      </w:r>
      <w:r w:rsidRPr="00464DB5">
        <w:rPr>
          <w:rFonts w:ascii="Century Schoolbook" w:eastAsia="Times New Roman" w:hAnsi="Century Schoolbook" w:cs="Times New Roman"/>
          <w:b/>
          <w:bCs/>
          <w:kern w:val="0"/>
          <w:sz w:val="22"/>
          <w:szCs w:val="22"/>
          <w:lang w:eastAsia="en-GB"/>
          <w14:ligatures w14:val="none"/>
        </w:rPr>
        <w:t>Student READY – Rural Entrepreneurship Awareness Development Yojana</w:t>
      </w:r>
      <w:r w:rsidRPr="00464DB5">
        <w:rPr>
          <w:rFonts w:ascii="Century Schoolbook" w:eastAsia="Times New Roman" w:hAnsi="Century Schoolbook" w:cs="Times New Roman"/>
          <w:kern w:val="0"/>
          <w:sz w:val="22"/>
          <w:szCs w:val="22"/>
          <w:lang w:eastAsia="en-GB"/>
          <w14:ligatures w14:val="none"/>
        </w:rPr>
        <w:t xml:space="preserve"> is an important component of undergraduate education at AAU and is designed to provide practical exposure, entrepreneurial orientation and real-life professional experience. </w:t>
      </w:r>
    </w:p>
    <w:p w14:paraId="7F11A352" w14:textId="77777777"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Depending upon the degree programme, activities may include:</w:t>
      </w:r>
    </w:p>
    <w:p w14:paraId="62B36C5E" w14:textId="77777777" w:rsidR="00464DB5" w:rsidRPr="00464DB5" w:rsidRDefault="00464DB5" w:rsidP="00AE48D7">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lastRenderedPageBreak/>
        <w:t>Rural Agricultural/Horticultural/Sericultural/Fisheries Work Experience;</w:t>
      </w:r>
    </w:p>
    <w:p w14:paraId="18512DA3" w14:textId="77777777" w:rsidR="00464DB5" w:rsidRPr="00464DB5" w:rsidRDefault="00464DB5" w:rsidP="00AE48D7">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In-plant or industrial training;</w:t>
      </w:r>
    </w:p>
    <w:p w14:paraId="7D5097BC" w14:textId="77777777" w:rsidR="00464DB5" w:rsidRPr="00464DB5" w:rsidRDefault="00464DB5" w:rsidP="00AE48D7">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Internship;</w:t>
      </w:r>
    </w:p>
    <w:p w14:paraId="17D9F91E" w14:textId="77777777" w:rsidR="00464DB5" w:rsidRPr="00464DB5" w:rsidRDefault="00464DB5" w:rsidP="00AE48D7">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Experiential Learning Programme;</w:t>
      </w:r>
    </w:p>
    <w:p w14:paraId="2036A414" w14:textId="77777777" w:rsidR="00464DB5" w:rsidRPr="00464DB5" w:rsidRDefault="00464DB5" w:rsidP="00AE48D7">
      <w:pPr>
        <w:numPr>
          <w:ilvl w:val="0"/>
          <w:numId w:val="2"/>
        </w:numPr>
        <w:ind w:left="714" w:hanging="357"/>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Project work and seminar; and</w:t>
      </w:r>
    </w:p>
    <w:p w14:paraId="6B41653C" w14:textId="77777777" w:rsidR="00464DB5" w:rsidRPr="00464DB5" w:rsidRDefault="00464DB5" w:rsidP="00464DB5">
      <w:pPr>
        <w:numPr>
          <w:ilvl w:val="0"/>
          <w:numId w:val="2"/>
        </w:num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Hands-on entrepreneurial and professional training.</w:t>
      </w:r>
    </w:p>
    <w:p w14:paraId="46D5A40F" w14:textId="58847CD8"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For Agriculture, Horticulture and Sericulture programmes, the respective rural work experience programme carries </w:t>
      </w:r>
      <w:r w:rsidRPr="00464DB5">
        <w:rPr>
          <w:rFonts w:ascii="Century Schoolbook" w:eastAsia="Times New Roman" w:hAnsi="Century Schoolbook" w:cs="Times New Roman"/>
          <w:b/>
          <w:bCs/>
          <w:kern w:val="0"/>
          <w:sz w:val="22"/>
          <w:szCs w:val="22"/>
          <w:lang w:eastAsia="en-GB"/>
          <w14:ligatures w14:val="none"/>
        </w:rPr>
        <w:t>20 credits in the eighth semester</w:t>
      </w:r>
      <w:r w:rsidRPr="00464DB5">
        <w:rPr>
          <w:rFonts w:ascii="Century Schoolbook" w:eastAsia="Times New Roman" w:hAnsi="Century Schoolbook" w:cs="Times New Roman"/>
          <w:kern w:val="0"/>
          <w:sz w:val="22"/>
          <w:szCs w:val="22"/>
          <w:lang w:eastAsia="en-GB"/>
          <w14:ligatures w14:val="none"/>
        </w:rPr>
        <w:t xml:space="preserve">. The Food Nutrition and Dietetics programme includes a six-month internship carrying </w:t>
      </w:r>
      <w:r w:rsidRPr="00464DB5">
        <w:rPr>
          <w:rFonts w:ascii="Century Schoolbook" w:eastAsia="Times New Roman" w:hAnsi="Century Schoolbook" w:cs="Times New Roman"/>
          <w:b/>
          <w:bCs/>
          <w:kern w:val="0"/>
          <w:sz w:val="22"/>
          <w:szCs w:val="22"/>
          <w:lang w:eastAsia="en-GB"/>
          <w14:ligatures w14:val="none"/>
        </w:rPr>
        <w:t>20 credits</w:t>
      </w:r>
      <w:r w:rsidRPr="00464DB5">
        <w:rPr>
          <w:rFonts w:ascii="Century Schoolbook" w:eastAsia="Times New Roman" w:hAnsi="Century Schoolbook" w:cs="Times New Roman"/>
          <w:kern w:val="0"/>
          <w:sz w:val="22"/>
          <w:szCs w:val="22"/>
          <w:lang w:eastAsia="en-GB"/>
          <w14:ligatures w14:val="none"/>
        </w:rPr>
        <w:t xml:space="preserve"> in the eighth semester. </w:t>
      </w:r>
    </w:p>
    <w:p w14:paraId="0D03B7A2"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Student Counselling and Academic Support</w:t>
      </w:r>
    </w:p>
    <w:p w14:paraId="62A86FB5" w14:textId="6DB63C96"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 xml:space="preserve">Each student is assigned a Student Counsellor for academic and non-academic guidance. Normally, a counsellor is assigned a group of 5–10 students and maintains records relating to academic progress, deficiencies and co-curricular activities. A faculty-level Undergraduate Students' Counselling Committee periodically reviews the functioning of the counselling system and student-related issues. </w:t>
      </w:r>
    </w:p>
    <w:p w14:paraId="72D252E2"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Discipline and Student Conduct</w:t>
      </w:r>
    </w:p>
    <w:p w14:paraId="09C2AA08" w14:textId="77777777"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All students are expected to maintain discipline and good behaviour within colleges, hostels and University campuses as well as during activities outside the University conducted under its authority. The Regulations prescribe procedures for dealing with misconduct, examination-related offences, hostel indiscipline and other violations.</w:t>
      </w:r>
    </w:p>
    <w:p w14:paraId="0C01A730" w14:textId="77777777" w:rsidR="00464DB5" w:rsidRP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Use of mobile phones in classrooms and examination halls is prohibited. Ragging in any form is prohibited and is dealt with in accordance with applicable legal and regulatory provisions.</w:t>
      </w:r>
    </w:p>
    <w:p w14:paraId="36778B58" w14:textId="77777777" w:rsidR="00464DB5" w:rsidRPr="00464DB5" w:rsidRDefault="00464DB5" w:rsidP="00464DB5">
      <w:pPr>
        <w:spacing w:after="120"/>
        <w:outlineLvl w:val="2"/>
        <w:rPr>
          <w:rFonts w:ascii="Century Schoolbook" w:eastAsia="Times New Roman" w:hAnsi="Century Schoolbook" w:cs="Times New Roman"/>
          <w:b/>
          <w:bCs/>
          <w:kern w:val="0"/>
          <w:szCs w:val="24"/>
          <w:lang w:eastAsia="en-GB"/>
          <w14:ligatures w14:val="none"/>
        </w:rPr>
      </w:pPr>
      <w:r w:rsidRPr="00464DB5">
        <w:rPr>
          <w:rFonts w:ascii="Century Schoolbook" w:eastAsia="Times New Roman" w:hAnsi="Century Schoolbook" w:cs="Times New Roman"/>
          <w:b/>
          <w:bCs/>
          <w:kern w:val="0"/>
          <w:szCs w:val="24"/>
          <w:lang w:eastAsia="en-GB"/>
          <w14:ligatures w14:val="none"/>
        </w:rPr>
        <w:t>Scholarships</w:t>
      </w:r>
    </w:p>
    <w:p w14:paraId="23297D92" w14:textId="395EAC6B" w:rsidR="00464DB5" w:rsidRDefault="00464DB5" w:rsidP="00464DB5">
      <w:pPr>
        <w:spacing w:after="120"/>
        <w:rPr>
          <w:rFonts w:ascii="Century Schoolbook" w:eastAsia="Times New Roman" w:hAnsi="Century Schoolbook" w:cs="Times New Roman"/>
          <w:kern w:val="0"/>
          <w:sz w:val="22"/>
          <w:szCs w:val="22"/>
          <w:lang w:eastAsia="en-GB"/>
          <w14:ligatures w14:val="none"/>
        </w:rPr>
      </w:pPr>
      <w:r w:rsidRPr="00464DB5">
        <w:rPr>
          <w:rFonts w:ascii="Century Schoolbook" w:eastAsia="Times New Roman" w:hAnsi="Century Schoolbook" w:cs="Times New Roman"/>
          <w:kern w:val="0"/>
          <w:sz w:val="22"/>
          <w:szCs w:val="22"/>
          <w:lang w:eastAsia="en-GB"/>
          <w14:ligatures w14:val="none"/>
        </w:rPr>
        <w:t>University Merit Scholarships may be awarded to eligible students subject to availability and the provisions prescribed by the University. Academic performance, satisfactory conduct and regular progress are essential conditions for continuation of scholarship. The minimum academic requirement prescribed for merit scholarship</w:t>
      </w:r>
      <w:r w:rsidR="00AE48D7">
        <w:rPr>
          <w:rFonts w:ascii="Century Schoolbook" w:eastAsia="Times New Roman" w:hAnsi="Century Schoolbook" w:cs="Times New Roman"/>
          <w:kern w:val="0"/>
          <w:sz w:val="22"/>
          <w:szCs w:val="22"/>
          <w:lang w:eastAsia="en-GB"/>
          <w14:ligatures w14:val="none"/>
        </w:rPr>
        <w:t>s</w:t>
      </w:r>
      <w:r w:rsidRPr="00464DB5">
        <w:rPr>
          <w:rFonts w:ascii="Century Schoolbook" w:eastAsia="Times New Roman" w:hAnsi="Century Schoolbook" w:cs="Times New Roman"/>
          <w:kern w:val="0"/>
          <w:sz w:val="22"/>
          <w:szCs w:val="22"/>
          <w:lang w:eastAsia="en-GB"/>
          <w14:ligatures w14:val="none"/>
        </w:rPr>
        <w:t xml:space="preserve"> for Bachelor's degree students is </w:t>
      </w:r>
      <w:r w:rsidRPr="00464DB5">
        <w:rPr>
          <w:rFonts w:ascii="Century Schoolbook" w:eastAsia="Times New Roman" w:hAnsi="Century Schoolbook" w:cs="Times New Roman"/>
          <w:b/>
          <w:bCs/>
          <w:kern w:val="0"/>
          <w:sz w:val="22"/>
          <w:szCs w:val="22"/>
          <w:lang w:eastAsia="en-GB"/>
          <w14:ligatures w14:val="none"/>
        </w:rPr>
        <w:t>GPA 7.00 or above on the 10-point scale</w:t>
      </w:r>
      <w:r w:rsidRPr="00464DB5">
        <w:rPr>
          <w:rFonts w:ascii="Century Schoolbook" w:eastAsia="Times New Roman" w:hAnsi="Century Schoolbook" w:cs="Times New Roman"/>
          <w:kern w:val="0"/>
          <w:sz w:val="22"/>
          <w:szCs w:val="22"/>
          <w:lang w:eastAsia="en-GB"/>
          <w14:ligatures w14:val="none"/>
        </w:rPr>
        <w:t>.</w:t>
      </w:r>
    </w:p>
    <w:p w14:paraId="58C1D38D" w14:textId="77777777" w:rsidR="00AE48D7" w:rsidRPr="00AE48D7" w:rsidRDefault="00AE48D7" w:rsidP="00AE48D7">
      <w:pPr>
        <w:pBdr>
          <w:top w:val="single" w:sz="4" w:space="1" w:color="auto"/>
          <w:left w:val="single" w:sz="4" w:space="4" w:color="auto"/>
          <w:bottom w:val="single" w:sz="4" w:space="1" w:color="auto"/>
          <w:right w:val="single" w:sz="4" w:space="4" w:color="auto"/>
        </w:pBdr>
        <w:spacing w:after="120"/>
        <w:outlineLvl w:val="2"/>
        <w:rPr>
          <w:rFonts w:ascii="Century Schoolbook" w:eastAsia="Times New Roman" w:hAnsi="Century Schoolbook" w:cs="Times New Roman"/>
          <w:b/>
          <w:bCs/>
          <w:kern w:val="0"/>
          <w:szCs w:val="24"/>
          <w:lang w:eastAsia="en-GB"/>
          <w14:ligatures w14:val="none"/>
        </w:rPr>
      </w:pPr>
      <w:r w:rsidRPr="00AE48D7">
        <w:rPr>
          <w:rFonts w:ascii="Century Schoolbook" w:eastAsia="Times New Roman" w:hAnsi="Century Schoolbook" w:cs="Times New Roman"/>
          <w:b/>
          <w:bCs/>
          <w:kern w:val="0"/>
          <w:szCs w:val="24"/>
          <w:lang w:eastAsia="en-GB"/>
          <w14:ligatures w14:val="none"/>
        </w:rPr>
        <w:t>Important Note</w:t>
      </w:r>
    </w:p>
    <w:p w14:paraId="1EDD9D91" w14:textId="77777777" w:rsidR="00AE48D7" w:rsidRPr="00AE48D7" w:rsidRDefault="00AE48D7" w:rsidP="00AE48D7">
      <w:pPr>
        <w:pBdr>
          <w:top w:val="single" w:sz="4" w:space="1" w:color="auto"/>
          <w:left w:val="single" w:sz="4" w:space="4" w:color="auto"/>
          <w:bottom w:val="single" w:sz="4" w:space="1" w:color="auto"/>
          <w:right w:val="single" w:sz="4" w:space="4" w:color="auto"/>
        </w:pBdr>
        <w:spacing w:after="120"/>
        <w:rPr>
          <w:rFonts w:ascii="Century Schoolbook" w:eastAsia="Times New Roman" w:hAnsi="Century Schoolbook" w:cs="Times New Roman"/>
          <w:kern w:val="0"/>
          <w:sz w:val="22"/>
          <w:szCs w:val="22"/>
          <w:lang w:eastAsia="en-GB"/>
          <w14:ligatures w14:val="none"/>
        </w:rPr>
      </w:pPr>
      <w:r w:rsidRPr="00AE48D7">
        <w:rPr>
          <w:rFonts w:ascii="Century Schoolbook" w:eastAsia="Times New Roman" w:hAnsi="Century Schoolbook" w:cs="Times New Roman"/>
          <w:kern w:val="0"/>
          <w:sz w:val="22"/>
          <w:szCs w:val="22"/>
          <w:lang w:eastAsia="en-GB"/>
          <w14:ligatures w14:val="none"/>
        </w:rPr>
        <w:t xml:space="preserve">The above is a </w:t>
      </w:r>
      <w:r w:rsidRPr="00AE48D7">
        <w:rPr>
          <w:rFonts w:ascii="Century Schoolbook" w:eastAsia="Times New Roman" w:hAnsi="Century Schoolbook" w:cs="Times New Roman"/>
          <w:b/>
          <w:bCs/>
          <w:kern w:val="0"/>
          <w:sz w:val="22"/>
          <w:szCs w:val="22"/>
          <w:lang w:eastAsia="en-GB"/>
          <w14:ligatures w14:val="none"/>
        </w:rPr>
        <w:t>web-friendly summary</w:t>
      </w:r>
      <w:r w:rsidRPr="00AE48D7">
        <w:rPr>
          <w:rFonts w:ascii="Century Schoolbook" w:eastAsia="Times New Roman" w:hAnsi="Century Schoolbook" w:cs="Times New Roman"/>
          <w:kern w:val="0"/>
          <w:sz w:val="22"/>
          <w:szCs w:val="22"/>
          <w:lang w:eastAsia="en-GB"/>
          <w14:ligatures w14:val="none"/>
        </w:rPr>
        <w:t xml:space="preserve"> of the major provisions of the Regulations. Students should refer to the complete </w:t>
      </w:r>
      <w:r w:rsidRPr="00AE48D7">
        <w:rPr>
          <w:rFonts w:ascii="Century Schoolbook" w:eastAsia="Times New Roman" w:hAnsi="Century Schoolbook" w:cs="Times New Roman"/>
          <w:b/>
          <w:bCs/>
          <w:kern w:val="0"/>
          <w:sz w:val="22"/>
          <w:szCs w:val="22"/>
          <w:lang w:eastAsia="en-GB"/>
          <w14:ligatures w14:val="none"/>
        </w:rPr>
        <w:t>Regulations on Academic Matters (Amended), 2025 for Undergraduate Degree Programme</w:t>
      </w:r>
      <w:r w:rsidRPr="00AE48D7">
        <w:rPr>
          <w:rFonts w:ascii="Century Schoolbook" w:eastAsia="Times New Roman" w:hAnsi="Century Schoolbook" w:cs="Times New Roman"/>
          <w:kern w:val="0"/>
          <w:sz w:val="22"/>
          <w:szCs w:val="22"/>
          <w:lang w:eastAsia="en-GB"/>
          <w14:ligatures w14:val="none"/>
        </w:rPr>
        <w:t>, the current Information Bulletin, Academic Calendar and subsequent University notifications for detailed rules, eligibility conditions, procedures and amendments. The official Regulations shall prevail in case of any difference in interpretation.</w:t>
      </w:r>
    </w:p>
    <w:p w14:paraId="3AABB766" w14:textId="77777777" w:rsidR="00AE48D7" w:rsidRPr="00464DB5" w:rsidRDefault="00AE48D7" w:rsidP="00464DB5">
      <w:pPr>
        <w:spacing w:after="120"/>
        <w:rPr>
          <w:rFonts w:ascii="Century Schoolbook" w:eastAsia="Times New Roman" w:hAnsi="Century Schoolbook" w:cs="Times New Roman"/>
          <w:kern w:val="0"/>
          <w:sz w:val="22"/>
          <w:szCs w:val="22"/>
          <w:lang w:eastAsia="en-GB"/>
          <w14:ligatures w14:val="none"/>
        </w:rPr>
      </w:pPr>
    </w:p>
    <w:p w14:paraId="2019B596" w14:textId="77777777" w:rsidR="00A35D37" w:rsidRPr="00464DB5" w:rsidRDefault="00A35D37" w:rsidP="00464DB5">
      <w:pPr>
        <w:spacing w:after="120"/>
        <w:rPr>
          <w:rFonts w:ascii="Century Schoolbook" w:hAnsi="Century Schoolbook"/>
          <w:sz w:val="22"/>
          <w:szCs w:val="22"/>
        </w:rPr>
      </w:pPr>
    </w:p>
    <w:sectPr w:rsidR="00A35D37" w:rsidRPr="00464DB5" w:rsidSect="00AE48D7">
      <w:pgSz w:w="11906" w:h="16838"/>
      <w:pgMar w:top="950" w:right="1440" w:bottom="107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6903F0"/>
    <w:multiLevelType w:val="multilevel"/>
    <w:tmpl w:val="80E2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F12A70"/>
    <w:multiLevelType w:val="multilevel"/>
    <w:tmpl w:val="759A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0813738">
    <w:abstractNumId w:val="0"/>
  </w:num>
  <w:num w:numId="2" w16cid:durableId="8710707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DB5"/>
    <w:rsid w:val="00000B6D"/>
    <w:rsid w:val="00014F40"/>
    <w:rsid w:val="000358A4"/>
    <w:rsid w:val="0006047C"/>
    <w:rsid w:val="00073320"/>
    <w:rsid w:val="000746FD"/>
    <w:rsid w:val="000813C4"/>
    <w:rsid w:val="00090560"/>
    <w:rsid w:val="00091AC8"/>
    <w:rsid w:val="000A4E14"/>
    <w:rsid w:val="000B01C3"/>
    <w:rsid w:val="000C0DF1"/>
    <w:rsid w:val="000E7C76"/>
    <w:rsid w:val="000F672D"/>
    <w:rsid w:val="00113CDE"/>
    <w:rsid w:val="00123D52"/>
    <w:rsid w:val="001347AA"/>
    <w:rsid w:val="00136C16"/>
    <w:rsid w:val="00143212"/>
    <w:rsid w:val="001548D9"/>
    <w:rsid w:val="0018623B"/>
    <w:rsid w:val="001A7FA7"/>
    <w:rsid w:val="001B6AD0"/>
    <w:rsid w:val="001C3521"/>
    <w:rsid w:val="001F5BB9"/>
    <w:rsid w:val="002014A1"/>
    <w:rsid w:val="00220E64"/>
    <w:rsid w:val="00240EBB"/>
    <w:rsid w:val="00242886"/>
    <w:rsid w:val="00290A67"/>
    <w:rsid w:val="002D3D65"/>
    <w:rsid w:val="002F0B1E"/>
    <w:rsid w:val="002F12C9"/>
    <w:rsid w:val="00301E00"/>
    <w:rsid w:val="00311F44"/>
    <w:rsid w:val="00317796"/>
    <w:rsid w:val="003519C7"/>
    <w:rsid w:val="00356A40"/>
    <w:rsid w:val="00357936"/>
    <w:rsid w:val="0036430D"/>
    <w:rsid w:val="00370654"/>
    <w:rsid w:val="003C08E4"/>
    <w:rsid w:val="003C59F8"/>
    <w:rsid w:val="003E10B0"/>
    <w:rsid w:val="003E111B"/>
    <w:rsid w:val="003E553C"/>
    <w:rsid w:val="00415BD6"/>
    <w:rsid w:val="0042469C"/>
    <w:rsid w:val="00426C91"/>
    <w:rsid w:val="00440532"/>
    <w:rsid w:val="00443FB9"/>
    <w:rsid w:val="004503BB"/>
    <w:rsid w:val="00464DB5"/>
    <w:rsid w:val="00471FE3"/>
    <w:rsid w:val="0048236A"/>
    <w:rsid w:val="00482AAA"/>
    <w:rsid w:val="00482E35"/>
    <w:rsid w:val="00484182"/>
    <w:rsid w:val="00494100"/>
    <w:rsid w:val="004B0885"/>
    <w:rsid w:val="004C38C4"/>
    <w:rsid w:val="004C4A62"/>
    <w:rsid w:val="004E50F9"/>
    <w:rsid w:val="004E6EB0"/>
    <w:rsid w:val="004F0F4F"/>
    <w:rsid w:val="005064C7"/>
    <w:rsid w:val="00514397"/>
    <w:rsid w:val="005364F9"/>
    <w:rsid w:val="0058699C"/>
    <w:rsid w:val="005A3E29"/>
    <w:rsid w:val="005B0810"/>
    <w:rsid w:val="005C0A01"/>
    <w:rsid w:val="005D22A2"/>
    <w:rsid w:val="00601700"/>
    <w:rsid w:val="00634632"/>
    <w:rsid w:val="00651E69"/>
    <w:rsid w:val="006668AA"/>
    <w:rsid w:val="0067245D"/>
    <w:rsid w:val="00677B5E"/>
    <w:rsid w:val="00695921"/>
    <w:rsid w:val="006A0CB8"/>
    <w:rsid w:val="006C3C96"/>
    <w:rsid w:val="006E105C"/>
    <w:rsid w:val="006E232E"/>
    <w:rsid w:val="006F16BA"/>
    <w:rsid w:val="006F54C7"/>
    <w:rsid w:val="00711D74"/>
    <w:rsid w:val="00722288"/>
    <w:rsid w:val="007253DB"/>
    <w:rsid w:val="00727CB9"/>
    <w:rsid w:val="00746038"/>
    <w:rsid w:val="007519C9"/>
    <w:rsid w:val="00773E75"/>
    <w:rsid w:val="007819FB"/>
    <w:rsid w:val="00795441"/>
    <w:rsid w:val="007962AB"/>
    <w:rsid w:val="007977C3"/>
    <w:rsid w:val="007B5A76"/>
    <w:rsid w:val="007C2280"/>
    <w:rsid w:val="007C508C"/>
    <w:rsid w:val="00816915"/>
    <w:rsid w:val="00827B62"/>
    <w:rsid w:val="00861D60"/>
    <w:rsid w:val="00885009"/>
    <w:rsid w:val="008A0662"/>
    <w:rsid w:val="008A29E5"/>
    <w:rsid w:val="008B1BE2"/>
    <w:rsid w:val="008D1BDD"/>
    <w:rsid w:val="00900391"/>
    <w:rsid w:val="00914B36"/>
    <w:rsid w:val="009155D5"/>
    <w:rsid w:val="00917440"/>
    <w:rsid w:val="009339B0"/>
    <w:rsid w:val="00971A10"/>
    <w:rsid w:val="00971D1B"/>
    <w:rsid w:val="00985F56"/>
    <w:rsid w:val="009A0091"/>
    <w:rsid w:val="009A1E10"/>
    <w:rsid w:val="009D3CE9"/>
    <w:rsid w:val="009E548F"/>
    <w:rsid w:val="00A00C79"/>
    <w:rsid w:val="00A22972"/>
    <w:rsid w:val="00A35D37"/>
    <w:rsid w:val="00A41F2F"/>
    <w:rsid w:val="00A64DCE"/>
    <w:rsid w:val="00A807B1"/>
    <w:rsid w:val="00A91E26"/>
    <w:rsid w:val="00AC08E6"/>
    <w:rsid w:val="00AE48D7"/>
    <w:rsid w:val="00B00A0F"/>
    <w:rsid w:val="00B03BFB"/>
    <w:rsid w:val="00B068DD"/>
    <w:rsid w:val="00B07239"/>
    <w:rsid w:val="00B11A6E"/>
    <w:rsid w:val="00B21F81"/>
    <w:rsid w:val="00B24583"/>
    <w:rsid w:val="00B37D38"/>
    <w:rsid w:val="00B5244C"/>
    <w:rsid w:val="00B52749"/>
    <w:rsid w:val="00B610BA"/>
    <w:rsid w:val="00B75995"/>
    <w:rsid w:val="00B86436"/>
    <w:rsid w:val="00B873C8"/>
    <w:rsid w:val="00B9035A"/>
    <w:rsid w:val="00BA7E34"/>
    <w:rsid w:val="00BB20C8"/>
    <w:rsid w:val="00BC2485"/>
    <w:rsid w:val="00BC2683"/>
    <w:rsid w:val="00BD282D"/>
    <w:rsid w:val="00BE4239"/>
    <w:rsid w:val="00BF472A"/>
    <w:rsid w:val="00C036A5"/>
    <w:rsid w:val="00C34E25"/>
    <w:rsid w:val="00C4282C"/>
    <w:rsid w:val="00C431BF"/>
    <w:rsid w:val="00C43AED"/>
    <w:rsid w:val="00C622CC"/>
    <w:rsid w:val="00C6509A"/>
    <w:rsid w:val="00C74FBD"/>
    <w:rsid w:val="00C82AC0"/>
    <w:rsid w:val="00C83EF1"/>
    <w:rsid w:val="00C853FA"/>
    <w:rsid w:val="00C9235B"/>
    <w:rsid w:val="00CA2AE0"/>
    <w:rsid w:val="00CA4AF0"/>
    <w:rsid w:val="00CB028B"/>
    <w:rsid w:val="00CD4524"/>
    <w:rsid w:val="00CE58D4"/>
    <w:rsid w:val="00CF7705"/>
    <w:rsid w:val="00D0649D"/>
    <w:rsid w:val="00D15A06"/>
    <w:rsid w:val="00D41A3D"/>
    <w:rsid w:val="00D431FC"/>
    <w:rsid w:val="00D6708B"/>
    <w:rsid w:val="00D712DD"/>
    <w:rsid w:val="00D851EC"/>
    <w:rsid w:val="00D93E63"/>
    <w:rsid w:val="00D93F06"/>
    <w:rsid w:val="00DB747B"/>
    <w:rsid w:val="00DC4055"/>
    <w:rsid w:val="00DE1BA0"/>
    <w:rsid w:val="00DE2436"/>
    <w:rsid w:val="00E00815"/>
    <w:rsid w:val="00E02387"/>
    <w:rsid w:val="00E12683"/>
    <w:rsid w:val="00E20FE5"/>
    <w:rsid w:val="00E44E74"/>
    <w:rsid w:val="00E51F8E"/>
    <w:rsid w:val="00E545C6"/>
    <w:rsid w:val="00E5724B"/>
    <w:rsid w:val="00E71BF6"/>
    <w:rsid w:val="00E8738C"/>
    <w:rsid w:val="00E87771"/>
    <w:rsid w:val="00E9600C"/>
    <w:rsid w:val="00E96DCD"/>
    <w:rsid w:val="00E977B2"/>
    <w:rsid w:val="00EB33CE"/>
    <w:rsid w:val="00EB57BD"/>
    <w:rsid w:val="00EC6C82"/>
    <w:rsid w:val="00EC77EE"/>
    <w:rsid w:val="00EE3CA0"/>
    <w:rsid w:val="00EE5077"/>
    <w:rsid w:val="00F01564"/>
    <w:rsid w:val="00F20EFC"/>
    <w:rsid w:val="00F25C28"/>
    <w:rsid w:val="00F2757D"/>
    <w:rsid w:val="00F40C4A"/>
    <w:rsid w:val="00F42745"/>
    <w:rsid w:val="00F661E0"/>
    <w:rsid w:val="00F70CDE"/>
    <w:rsid w:val="00F819C9"/>
    <w:rsid w:val="00F8696F"/>
    <w:rsid w:val="00FA3B1A"/>
    <w:rsid w:val="00FA5C80"/>
    <w:rsid w:val="00FC1ED2"/>
    <w:rsid w:val="00FE2CA4"/>
    <w:rsid w:val="00FF0E34"/>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decimalSymbol w:val="."/>
  <w:listSeparator w:val=","/>
  <w14:docId w14:val="63C89C1F"/>
  <w15:chartTrackingRefBased/>
  <w15:docId w15:val="{CFADB1A0-8A98-9642-AAE6-86F99513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30"/>
        <w:lang w:val="en-IN" w:eastAsia="en-US" w:bidi="as-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paragraph" w:styleId="Heading1">
    <w:name w:val="heading 1"/>
    <w:basedOn w:val="Normal"/>
    <w:next w:val="Normal"/>
    <w:link w:val="Heading1Char"/>
    <w:uiPriority w:val="9"/>
    <w:qFormat/>
    <w:rsid w:val="00464DB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464DB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unhideWhenUsed/>
    <w:qFormat/>
    <w:rsid w:val="00464DB5"/>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464D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D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D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D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D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D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DB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464DB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rsid w:val="00464DB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464D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D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D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D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D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DB5"/>
    <w:rPr>
      <w:rFonts w:eastAsiaTheme="majorEastAsia" w:cstheme="majorBidi"/>
      <w:color w:val="272727" w:themeColor="text1" w:themeTint="D8"/>
    </w:rPr>
  </w:style>
  <w:style w:type="paragraph" w:styleId="Title">
    <w:name w:val="Title"/>
    <w:basedOn w:val="Normal"/>
    <w:next w:val="Normal"/>
    <w:link w:val="TitleChar"/>
    <w:uiPriority w:val="10"/>
    <w:qFormat/>
    <w:rsid w:val="00464DB5"/>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464DB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464DB5"/>
    <w:pPr>
      <w:numPr>
        <w:ilvl w:val="1"/>
      </w:numPr>
      <w:spacing w:after="1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464DB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464D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4DB5"/>
    <w:rPr>
      <w:rFonts w:cs="Vrinda"/>
      <w:i/>
      <w:iCs/>
      <w:color w:val="404040" w:themeColor="text1" w:themeTint="BF"/>
    </w:rPr>
  </w:style>
  <w:style w:type="paragraph" w:styleId="ListParagraph">
    <w:name w:val="List Paragraph"/>
    <w:basedOn w:val="Normal"/>
    <w:uiPriority w:val="34"/>
    <w:qFormat/>
    <w:rsid w:val="00464DB5"/>
    <w:pPr>
      <w:ind w:left="720"/>
      <w:contextualSpacing/>
    </w:pPr>
  </w:style>
  <w:style w:type="character" w:styleId="IntenseEmphasis">
    <w:name w:val="Intense Emphasis"/>
    <w:basedOn w:val="DefaultParagraphFont"/>
    <w:uiPriority w:val="21"/>
    <w:qFormat/>
    <w:rsid w:val="00464DB5"/>
    <w:rPr>
      <w:i/>
      <w:iCs/>
      <w:color w:val="0F4761" w:themeColor="accent1" w:themeShade="BF"/>
    </w:rPr>
  </w:style>
  <w:style w:type="paragraph" w:styleId="IntenseQuote">
    <w:name w:val="Intense Quote"/>
    <w:basedOn w:val="Normal"/>
    <w:next w:val="Normal"/>
    <w:link w:val="IntenseQuoteChar"/>
    <w:uiPriority w:val="30"/>
    <w:qFormat/>
    <w:rsid w:val="00464D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DB5"/>
    <w:rPr>
      <w:rFonts w:cs="Vrinda"/>
      <w:i/>
      <w:iCs/>
      <w:color w:val="0F4761" w:themeColor="accent1" w:themeShade="BF"/>
    </w:rPr>
  </w:style>
  <w:style w:type="character" w:styleId="IntenseReference">
    <w:name w:val="Intense Reference"/>
    <w:basedOn w:val="DefaultParagraphFont"/>
    <w:uiPriority w:val="32"/>
    <w:qFormat/>
    <w:rsid w:val="00464DB5"/>
    <w:rPr>
      <w:b/>
      <w:bCs/>
      <w:smallCaps/>
      <w:color w:val="0F4761" w:themeColor="accent1" w:themeShade="BF"/>
      <w:spacing w:val="5"/>
    </w:rPr>
  </w:style>
  <w:style w:type="paragraph" w:styleId="NormalWeb">
    <w:name w:val="Normal (Web)"/>
    <w:basedOn w:val="Normal"/>
    <w:uiPriority w:val="99"/>
    <w:semiHidden/>
    <w:unhideWhenUsed/>
    <w:rsid w:val="00464DB5"/>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styleId="Strong">
    <w:name w:val="Strong"/>
    <w:basedOn w:val="DefaultParagraphFont"/>
    <w:uiPriority w:val="22"/>
    <w:qFormat/>
    <w:rsid w:val="00464D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1312</Words>
  <Characters>7480</Characters>
  <Application>Microsoft Office Word</Application>
  <DocSecurity>0</DocSecurity>
  <Lines>62</Lines>
  <Paragraphs>17</Paragraphs>
  <ScaleCrop>false</ScaleCrop>
  <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Ananta Saikia</dc:creator>
  <cp:keywords/>
  <dc:description/>
  <cp:lastModifiedBy>Ananta Saikia</cp:lastModifiedBy>
  <cp:revision>2</cp:revision>
  <dcterms:created xsi:type="dcterms:W3CDTF">2026-10-14T07:30:00Z</dcterms:created>
  <dcterms:modified xsi:type="dcterms:W3CDTF">2026-10-14T07:40:00Z</dcterms:modified>
</cp:coreProperties>
</file>